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uppressLineNumbers/>
        <w:spacing w:lineRule="auto" w:line="240" w:before="0" w:after="0"/>
        <w:ind w:left="6804"/>
        <w:rPr>
          <w:rFonts w:ascii="Times New Roman" w:hAnsi="Times New Roman" w:cs="Times New Roman"/>
          <w:sz w:val="23"/>
          <w:szCs w:val="23"/>
        </w:rPr>
      </w:pPr>
      <w:r>
        <w:rPr>
          <w:rFonts w:cs="Times New Roman" w:ascii="Times New Roman" w:hAnsi="Times New Roman"/>
          <w:sz w:val="23"/>
          <w:szCs w:val="23"/>
        </w:rPr>
        <w:t>Шәһәр Советының</w:t>
      </w:r>
    </w:p>
    <w:p>
      <w:pPr>
        <w:pStyle w:val="Normal"/>
        <w:suppressLineNumbers/>
        <w:spacing w:lineRule="auto" w:line="240" w:before="0" w:after="0"/>
        <w:ind w:left="6804"/>
        <w:rPr>
          <w:rFonts w:ascii="Times New Roman" w:hAnsi="Times New Roman" w:cs="Times New Roman"/>
          <w:sz w:val="23"/>
          <w:szCs w:val="23"/>
        </w:rPr>
      </w:pPr>
      <w:r>
        <w:rPr>
          <w:rFonts w:cs="Times New Roman" w:ascii="Times New Roman" w:hAnsi="Times New Roman"/>
          <w:sz w:val="23"/>
          <w:szCs w:val="23"/>
        </w:rPr>
        <w:t>2025 елның «___» _______________</w:t>
      </w:r>
      <w:bookmarkStart w:id="0" w:name="_GoBack"/>
      <w:bookmarkEnd w:id="0"/>
    </w:p>
    <w:p>
      <w:pPr>
        <w:pStyle w:val="Normal"/>
        <w:suppressLineNumbers/>
        <w:spacing w:lineRule="auto" w:line="240" w:before="0" w:after="0"/>
        <w:ind w:left="6804"/>
        <w:rPr>
          <w:rFonts w:ascii="Times New Roman" w:hAnsi="Times New Roman" w:cs="Times New Roman"/>
          <w:sz w:val="23"/>
          <w:szCs w:val="23"/>
        </w:rPr>
      </w:pPr>
      <w:r>
        <w:rPr>
          <w:rFonts w:cs="Times New Roman" w:ascii="Times New Roman" w:hAnsi="Times New Roman"/>
          <w:sz w:val="23"/>
          <w:szCs w:val="23"/>
        </w:rPr>
        <w:t xml:space="preserve">____ номерлы карарына </w:t>
      </w:r>
    </w:p>
    <w:p>
      <w:pPr>
        <w:pStyle w:val="Normal"/>
        <w:suppressLineNumbers/>
        <w:spacing w:lineRule="auto" w:line="240" w:before="0" w:after="0"/>
        <w:ind w:left="6804"/>
        <w:rPr>
          <w:rFonts w:ascii="Times New Roman" w:hAnsi="Times New Roman" w:cs="Times New Roman"/>
          <w:sz w:val="23"/>
          <w:szCs w:val="23"/>
        </w:rPr>
      </w:pPr>
      <w:r>
        <w:rPr>
          <w:rFonts w:cs="Times New Roman" w:ascii="Times New Roman" w:hAnsi="Times New Roman"/>
          <w:sz w:val="23"/>
          <w:szCs w:val="23"/>
          <w:lang w:val="tt-RU"/>
        </w:rPr>
        <w:t>3</w:t>
      </w:r>
      <w:r>
        <w:rPr>
          <w:rFonts w:cs="Times New Roman" w:ascii="Times New Roman" w:hAnsi="Times New Roman"/>
          <w:sz w:val="23"/>
          <w:szCs w:val="23"/>
        </w:rPr>
        <w:t xml:space="preserve"> нче кушымта</w:t>
      </w:r>
    </w:p>
    <w:p>
      <w:pPr>
        <w:pStyle w:val="Normal"/>
        <w:suppressLineNumbers/>
        <w:spacing w:lineRule="auto" w:line="240" w:before="0" w:after="0"/>
        <w:ind w:firstLine="7380"/>
        <w:rPr>
          <w:rFonts w:ascii="Times New Roman" w:hAnsi="Times New Roman" w:cs="Times New Roman"/>
          <w:color w:val="000000"/>
          <w:sz w:val="23"/>
          <w:szCs w:val="23"/>
        </w:rPr>
      </w:pPr>
      <w:r>
        <w:rPr>
          <w:rFonts w:cs="Times New Roman" w:ascii="Times New Roman" w:hAnsi="Times New Roman"/>
          <w:color w:val="000000"/>
          <w:sz w:val="23"/>
          <w:szCs w:val="23"/>
        </w:rPr>
      </w:r>
    </w:p>
    <w:p>
      <w:pPr>
        <w:pStyle w:val="Normal"/>
        <w:suppressLineNumbers/>
        <w:spacing w:lineRule="auto" w:line="240" w:before="0" w:after="0"/>
        <w:ind w:firstLine="7380"/>
        <w:rPr>
          <w:rFonts w:ascii="Times New Roman" w:hAnsi="Times New Roman" w:cs="Times New Roman"/>
          <w:color w:val="000000"/>
          <w:sz w:val="23"/>
          <w:szCs w:val="23"/>
        </w:rPr>
      </w:pPr>
      <w:r>
        <w:rPr>
          <w:rFonts w:cs="Times New Roman" w:ascii="Times New Roman" w:hAnsi="Times New Roman"/>
          <w:color w:val="000000"/>
          <w:sz w:val="23"/>
          <w:szCs w:val="23"/>
        </w:rPr>
      </w:r>
    </w:p>
    <w:p>
      <w:pPr>
        <w:pStyle w:val="Normal"/>
        <w:suppressLineNumbers/>
        <w:spacing w:lineRule="auto" w:line="240" w:before="0" w:after="0"/>
        <w:ind w:firstLine="7380"/>
        <w:rPr>
          <w:rFonts w:ascii="Times New Roman" w:hAnsi="Times New Roman" w:cs="Times New Roman"/>
          <w:color w:val="000000"/>
          <w:sz w:val="23"/>
          <w:szCs w:val="23"/>
        </w:rPr>
      </w:pPr>
      <w:r>
        <w:rPr>
          <w:rFonts w:cs="Times New Roman" w:ascii="Times New Roman" w:hAnsi="Times New Roman"/>
          <w:color w:val="000000"/>
          <w:sz w:val="23"/>
          <w:szCs w:val="23"/>
        </w:rPr>
      </w:r>
    </w:p>
    <w:p>
      <w:pPr>
        <w:pStyle w:val="Normal"/>
        <w:suppressLineNumbers/>
        <w:spacing w:lineRule="auto" w:line="240" w:before="0" w:after="0"/>
        <w:jc w:val="center"/>
        <w:rPr>
          <w:rFonts w:ascii="Times New Roman" w:hAnsi="Times New Roman" w:cs="Times New Roman"/>
          <w:sz w:val="23"/>
          <w:szCs w:val="23"/>
        </w:rPr>
      </w:pPr>
      <w:r>
        <w:rPr>
          <w:rFonts w:cs="Times New Roman" w:ascii="Times New Roman" w:hAnsi="Times New Roman"/>
          <w:sz w:val="23"/>
          <w:szCs w:val="23"/>
        </w:rPr>
        <w:t>2024 елга</w:t>
      </w:r>
    </w:p>
    <w:p>
      <w:pPr>
        <w:pStyle w:val="Normal"/>
        <w:suppressLineNumbers/>
        <w:spacing w:lineRule="auto" w:line="240" w:before="0" w:after="0"/>
        <w:jc w:val="center"/>
        <w:rPr>
          <w:rFonts w:ascii="Times New Roman" w:hAnsi="Times New Roman" w:cs="Times New Roman"/>
          <w:sz w:val="23"/>
          <w:szCs w:val="23"/>
        </w:rPr>
      </w:pPr>
      <w:r>
        <w:rPr>
          <w:rFonts w:cs="Times New Roman" w:ascii="Times New Roman" w:hAnsi="Times New Roman"/>
          <w:sz w:val="23"/>
          <w:szCs w:val="23"/>
        </w:rPr>
        <w:t>Яр Чаллы шәһәре муниципаль берәмлеге бюджеты чыгымнары классификациясенең</w:t>
      </w:r>
    </w:p>
    <w:p>
      <w:pPr>
        <w:pStyle w:val="Normal"/>
        <w:suppressLineNumbers/>
        <w:spacing w:lineRule="auto" w:line="240" w:before="0" w:after="0"/>
        <w:jc w:val="center"/>
        <w:rPr>
          <w:rFonts w:ascii="Times New Roman" w:hAnsi="Times New Roman" w:cs="Times New Roman"/>
          <w:sz w:val="23"/>
          <w:szCs w:val="23"/>
        </w:rPr>
      </w:pPr>
      <w:r>
        <w:rPr>
          <w:rFonts w:cs="Times New Roman" w:ascii="Times New Roman" w:hAnsi="Times New Roman"/>
          <w:sz w:val="23"/>
          <w:szCs w:val="23"/>
        </w:rPr>
        <w:t>бүлек һәм бүлекчәләре, максатчан статьялары һәм чыгым төрләре буенча</w:t>
      </w:r>
    </w:p>
    <w:p>
      <w:pPr>
        <w:pStyle w:val="Normal"/>
        <w:suppressLineNumbers/>
        <w:spacing w:lineRule="auto" w:line="240" w:before="0" w:after="0"/>
        <w:jc w:val="center"/>
        <w:rPr>
          <w:rFonts w:ascii="Times New Roman" w:hAnsi="Times New Roman" w:cs="Times New Roman"/>
          <w:sz w:val="23"/>
          <w:szCs w:val="23"/>
          <w:highlight w:val="none"/>
        </w:rPr>
      </w:pPr>
      <w:r>
        <w:rPr>
          <w:rFonts w:cs="Times New Roman" w:ascii="Times New Roman" w:hAnsi="Times New Roman"/>
          <w:sz w:val="23"/>
          <w:szCs w:val="23"/>
        </w:rPr>
        <w:t>бюджет ассигнованиеләре бүленеше</w:t>
      </w:r>
    </w:p>
    <w:p>
      <w:pPr>
        <w:pStyle w:val="Normal"/>
        <w:suppressLineNumbers/>
        <w:spacing w:lineRule="auto" w:line="240" w:before="0" w:after="0"/>
        <w:jc w:val="center"/>
        <w:rPr>
          <w:rFonts w:ascii="Times New Roman" w:hAnsi="Times New Roman" w:cs="Times New Roman"/>
          <w:sz w:val="23"/>
          <w:szCs w:val="23"/>
        </w:rPr>
      </w:pPr>
      <w:r>
        <w:rPr>
          <w:rFonts w:cs="Times New Roman" w:ascii="Times New Roman" w:hAnsi="Times New Roman"/>
          <w:sz w:val="23"/>
          <w:szCs w:val="23"/>
        </w:rPr>
      </w:r>
    </w:p>
    <w:tbl>
      <w:tblPr>
        <w:tblStyle w:val="48"/>
        <w:tblW w:w="10508" w:type="dxa"/>
        <w:jc w:val="left"/>
        <w:tblInd w:w="243" w:type="dxa"/>
        <w:tblLayout w:type="fixed"/>
        <w:tblCellMar>
          <w:top w:w="15" w:type="dxa"/>
          <w:left w:w="15" w:type="dxa"/>
          <w:bottom w:w="15" w:type="dxa"/>
          <w:right w:w="15" w:type="dxa"/>
        </w:tblCellMar>
        <w:tblLook w:noVBand="1" w:val="04a0" w:noHBand="0" w:lastColumn="0" w:firstColumn="1" w:lastRow="0" w:firstRow="1"/>
      </w:tblPr>
      <w:tblGrid>
        <w:gridCol w:w="5565"/>
        <w:gridCol w:w="420"/>
        <w:gridCol w:w="404"/>
        <w:gridCol w:w="1860"/>
        <w:gridCol w:w="435"/>
        <w:gridCol w:w="1823"/>
      </w:tblGrid>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Исеме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Рз</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Пр</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ЦСР</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ВР</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сумма, мең сум</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Гомумдәүләт мәсьәләләре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3 970 462 388,38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Россия Федерациясе субъектының һәм муниципаль берәмлекнең иң югары вазифаи заты эшчәнлеге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ind w:hanging="0" w:left="0" w:right="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11 926 808,33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11 926 808,33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берәмлек башлыгы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11 926 808,33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11 926 808,33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Дәүләт хакимиятенең закон чыгару (вәкиллекле) органнары һәм муниципаль берәмлекләрнең вәкиллекле органнары эшчәнлеге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40 174 291,96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40 174 291,96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40 174 291,96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31 852 158,28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8 322 133,68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Россия Федерациясе Хөкүмәте, Россия Федерациясе субъектлары дәүләт хакимиятенең иң югары башкарма органнары, җирле администрацияләр эшчәнлеге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479 727 680,61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идарә чыгымнарын гамәлгә ашыруга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транспорт системасын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«Транспорт комплексында дәүләт сәясәтен камилләштерү»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Халыкка транспорт хезмәте күрсәтүне оештыру өлкәсендә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13 4 05 25220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13 4 05 25220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3 764 553,44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3 764 553,44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1 653 740,00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2 110 813,44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яшьләр сәясәтен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яшьләр сәясәтен камилләштерү»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өлкәсендә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38 4 01 25240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38 4 01 25240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473 803 127,17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473 803 127,17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393 109 135,82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80 675 316,35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18 675,00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Суд системасы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28 800,00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99 0 01 51200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99 0 01 51200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Финанс, салым һәм таможня органнары һәм финанс (финанс-бюджет) күзәтчелеге органнары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13 503 376,31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13 503 376,31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13 503 376,31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13 082 850,25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401 526,06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Башка гомумдәүләт мәсьәләләре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3 425 101 431,17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гражданнарга социаль ярдәм»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10 804 200,00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10 804 200,00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«Балалы гаиләләргә дәүләт ярдәме чаралары күрсәтү»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10 804 200,00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Опека һәм попечительлек өлкәсендә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03 4 01 25330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10 804 200,00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03 4 01 25330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10 804 200,00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Хезмәтне саклау һәм шартларын яхшырту буенча программа</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39 994,48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39 994,48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39 994,48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җәмәгать тәртибен тәэмин итү һәм хокук бозуларны профилактикалау»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3 877 498,96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3 877 498,96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3 727 498,96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кече һәм урта эшмәкәрлегенә ярдәм күрсәтү һәм аны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2 340 300,00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2 340 300,00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2 250 300,00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1 539 435,60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 мәҗбүри дәүләт иминләштерүен үткәрүне оештыру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695 693,02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695 693,02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хезмәткәрләренә диспансеризация үткәрүне оештыру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19 0 00 97080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843 742,58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19 0 00 97080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843 742,58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территориаль иҗтимагый үзидарәсен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36 872 768,11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Татарстан Республикасы территориаль иҗтимагый үзидарә системасын үстерүгә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22 728 448,11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22 728 448,11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Татарстан Республикасы территориаль иҗтимагый үзидарә системасын үстерүгә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13 644 320,00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13 644 320,00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729 998,96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729 998,96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729 998,96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социаль юнәлешле коммерцияле булмаган оешмаларына ярдәм күрсәтү»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536 419,84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536 419,84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514 419,84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территориясендә «Имин шәһәр» АПК сегментын төзү һәм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7 683 718,07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45 0 00 92030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7 683 718,07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45 0 00 92030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7 683 718,07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3 360 617 097,15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Оешмалар милкенә салынган салымны һәм җир салымын түләү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99 0 00 02950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15 749 296,43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99 0 00 02950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15 749 296,43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8 053 954,96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8 053 954,96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учреждениеләрне финанслау өчен кирәкле шартлар белән тәэмин итә торган учреждениеләр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99 0 00 29900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2 865 650 708,91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99 0 00 29900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2 865 650 708,91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мәдәният учреждениеләре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99 0 00 44000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12 552 471,90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99 0 00 44000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3 331 342,55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99 0 00 44000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9 221 129,35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Пенсияләргә өстәмә түләүләр, пенсия белән өстәмә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99 0 00 49100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3 288 749,69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99 0 00 49100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3 288 749,69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341 370 766,01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27 154 628,64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143 550 513,73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милке объектларына капиталь кертемнәр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114 121,76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140 558 373,03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17 993 128,85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67 157 512,12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67 157 512,12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13 614 440,00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6 244 300,00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6 244 300,00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Административ комиссияләр булдыру һәм аларның эшчәнлеген оештыру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1 175 600,00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1 175 600,00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Архив эше өлкәсендә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255 100,00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255 100,00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Административ хокук бозулар турында беркетмәләр төзүгә вәкаләтле вазыйфаи затлар исемлеген билгеләү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Алкоголь, наркотик яки башка агулы матдә кулланудан исерек хәлдә булган затларга ярдәм күрсәтү чараларын оештыру һәм гамәлгә ашыру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5 938 600,00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5 938 600,00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 хәле актларын теркәү идарәсе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33 179 197,13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бюджет акчалары хисабына граждан хәле актларын дәүләт теркәвенә алу өчен тапшырылган Россия Федерациясе вәкаләтләрен гамәлгә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21 448 600,00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12 666 917,31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8 737 040,69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44 642,00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Республика бюджеты акчалары хисабына граждан хәле актларын дәүләт теркәвенә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99 0 11 79300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11 730 597,13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99 0 11 79300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11 730 597,13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Милли иминлек һәм хокук саклау эшчәнлеге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150 662 578,79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Гражданнар оборонасы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33 614,40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33 614,40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Халыкны һәм оешмаларны тыныч вакыттагы һәм сугыш вакытындагы гадәттән тыш хәлләргә әзерләү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07 0 00 22920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33 614,40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07 0 00 22920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33 614,40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Халыкны һәм территорияне табигый һәм техноген характердагы гадәттән тыш хәлләрдән саклау, янгын куркынычсызлыгы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19 425 641,67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17 223 054,78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Гражданнар оборонасы һәм гадәттән тыш хәлләрдән саклау өлкәсендәге эшчәнлекне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8 912 785,60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8 912 785,60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Милли иминлек һәм хокук саклау эшчәнлеге өлкәсендәге органнарның эшләве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8 310 269,18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8 310 269,18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2 198 586,89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2 198 586,89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78 240,00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2 120 346,89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карамагындагы учреждениеләр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99 0 00 22680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99 0 00 22680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Милли иминлек һәм хокук саклау эшчәнлеге өлкәсендәге башка мәсьәләләр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131 203 322,72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җәмәгать тәртибен тәэмин итү һәм хокук бозуларны профилактикалау»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130 824 778,95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Милли иминлекне һәм хокук саклау эшчәнлеген тәэмин итүгә бәйле башка функцияләрне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06 0 00 22700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130 824 778,95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06 0 00 22700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125 983 088,50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06 0 00 22700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4 841 690,45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161 640,00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161 640,00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161 640,00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216 903,77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Милли иминлекне һәм хокук саклау эшчәнлеген тәэмин итүгә бәйле башка функцияләрне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99 0 00 22700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216 903,77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99 0 00 22700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216 903,77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Милли икътисад</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1 382 646 692,36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Авыл хуҗалыгы һәм балыкчылык</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13 199 100,00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авыл хуҗалыгын үстерү һәм авыл хуҗалыгы продукциясе, чимал һәм азык-төлек базарларын җайга салу»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К1 0 00 0000 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13 199 100,00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(региональ) проектлар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«Терлекчелек ярдәмче тармагын, терлекчелек продукциясен эшкәртү һәм сатуны үстерү» региональ проекты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14 2 17 00000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Түләмә авырулы терлекләр каберлеген һәм биотермик чокырларны карап тоту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14 2 17 25362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14 2 17 25362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Су хуҗалыгы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238 799,72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238 799,72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Гидротехник корылмаларны карап тоту һәм ремонтлау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46 0 00 90430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238 799,72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46 0 00 90430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238 799,72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Транспорт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449 017 228,12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Автомобиль транспорты өлкәсендә аерым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03 0 00 03170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03 0 00 03170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429 017 228,12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Автомобиль транспорты өлкәсендә аерым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99 0 00 03170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429 017 228,12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99 0 00 03170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25 311 784,84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99 0 00 03170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403 705 443,28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Юл хуҗалыгы (юл фондлары)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872 296 359,90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Юл фонды хисабына автомобиль юллары төзү, реконструкцияләү һәм ремонтлау (агымдагы һәм капиталь)</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Д1 0 00 03650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65 704 068,73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Д1 0 00 03650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65 704 068,73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юл хәрәкәте иминлеген арттыру»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779 712 294,45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юл хәрәкәте иминлеген арттыру»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47 0 00 78020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779 712 294,45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47 0 00 78020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779 712 294,45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26 879 996,72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26 879 996,72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26 879 996,72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Милли икътисад өлкәсендә башка мәсьәләләр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47 895 204,62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9 495 768,20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Төзелеш, архитектура һәм шәһәр төзелеше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99 0 00 33800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9 495 768,20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99 0 00 33800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9 495 768,20</w:t>
            </w:r>
          </w:p>
        </w:tc>
      </w:tr>
      <w:tr>
        <w:trPr/>
        <w:tc>
          <w:tcPr>
            <w:tcW w:w="5565"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Җир төзелеше һәм җирдән файдалану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16 4 02 03440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23 699 436,42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16 4 02 03440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23 699 436,42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14 700 000,00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Инженерлык, транспорт инфраструктурасын урнаштыру, төзү, үстерү системасын камилләштерү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99 0 01 82320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14 700 000,00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99 0 01 82320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14 700 000,00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Торак-коммуналь хуҗалыгы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1 013 363 060,54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Торак хуҗалыгы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267 347 000,00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Күпфатирлы йортларга капиталь ремонт үткәрү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«Күпфатирлы йортларның техник торышын яхшырту» региональ проекты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04 2 07 00000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565"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территориясендә урнашкан күпфатирлы йортларда гомуми мөлкәтне капиталь ремонтлау буенча региональ программа чараларын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04 2 07 96010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04 2 07 96010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Коммуналь хуҗалык</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16 705 444,74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5 110 010,30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Коммуналь хуҗалык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03 0 00 75050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5 110 010,30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03 0 00 75050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5 110 010,30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11 595 434,44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Коммуналь хуҗалык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99 0 00 75050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11 595 434,44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99 0 00 75050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11 595 434,44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Төзекләндерү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725 625 815,80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725 625 815,80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Урамнарны яктырту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246 893 668,61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246 893 668,61</w:t>
            </w:r>
          </w:p>
        </w:tc>
      </w:tr>
      <w:tr>
        <w:trPr/>
        <w:tc>
          <w:tcPr>
            <w:tcW w:w="5565"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Җирләү урыннарын оештыру һәм карап тоту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18 687 200,11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99 0 00 78040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18 687 200,11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Шәһәр округларын һәм җирлекләрен төзекләндерү буенча башка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105 609 803,17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105 609 803,17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Паркларны һәм скверларны карап тоту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313 764 715,00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313 764 715,00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40 670 428,91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дәрәҗәдәге хакимият органнары тарафыннан кабул ителгән карарлар нәтиҗәсендә барлыкка килгән өстәмә чыгымнарны компенсацияләү өчен тапшырыла торган акчалар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99 0 01 25150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40 670 428,91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99 0 01 25150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40 670 428,91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Торак-коммуналь хуҗалыгы өлкәсендә башка мәсьәләләр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3 684 800,00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Күпфатирлы йортларны һәм (яки) башка күчемсез милек объектларын өлешләп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Әйләнә-тирә мохитне саклау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06</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5 863 793,39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Әйләнә-тирә мохитне саклау өлкәсендә башка мәсьәләләр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06</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5 863 793,39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Әйләнә-тирә мохитне саклау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09 0 00 74460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5 863 793,39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09 0 00 74460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5 863 793,39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Мәгариф</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13 452 227 164,65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Мәктәпкәчә белем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4 951 839 739,48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3 500 259 497,34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3 500 259 497,34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һәм гомуми белем бирүнең заманча механизмнары һәм технологияләре»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3 497 936 400,00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Автономияле һәм бюджет учреждениеләре эшчәнлеген тәэмин итүгә өстәмә чыгымнарны компенсацияләү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29 068 300,00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29 068 300,00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02 4 01 25370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1 508 868 100,00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02 4 01 25370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1 508 868 100,00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финанслашу максатларында Татарстан Республикасы муниципаль районнары һәм шәһәр округлары бюджетларына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S0050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1 960 000 000,00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S0050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1 960 000 000,00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2 323 097,34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мәктәпкәчә белем бирү оешмаларында яшь белгечләргә ярдәм күрсәтүгә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02 4 05 43625</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2 323 097,34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02 4 05 43625</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2 323 097,34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1 310 432 175,61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бирүне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1 310 432 175,61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«Һәркем өчен мөмкин булган түләүсез мәктәпкәчә белем бирүне тәэмин итү»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1 284 313 335,61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1 284 313 335,61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1 284 313 335,61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финанслашу максатларында Татарстан Республикасы муниципаль районнары һәм шәһәр округлары бюджетларына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S0050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26 118 840,00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S0050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26 118 840,00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5 217 930,35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5 217 930,35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5 217 930,35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 чараларын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4 621 858,75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4 621 858,75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4 621 858,75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71 440 469,71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71 440 469,71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71 440 469,71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58 367 807,72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58 367 807,72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58 367 807,72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Гомуми белем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6 998 299 788,76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5 052 593 539,52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5 052 593 539,52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һәм гомуми белем бирүнең заманча механизмнары һәм технологияләре»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4 409 976 752,99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Автономияле һәм бюджет учреждениеләре эшчәнлеген тәэмин итүгә өстәмә чыгымнарны компенсацияләү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342 175 100,00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342 175 100,00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һәркем өчен мөмкин булган һәм түләүсез башлангыч, төп гомуми, урта гомуми белем алуга, муниципаль гомуми белем бирү оешмаларында балаларга өстәмә белем бирүне тәэмин итүгә хокукларны гамәлгә ашыруның дәүләт гарантияләрен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02 4 01 25280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3 465 846 200,00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02 4 01 25280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3 465 846 200,00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оешмаларының педагогия хезмәткәрләренә сыйныф җитәкчелеге өчен айлык акчалата түләүләр өлешендә муниципаль гомуми белем бирү оешмаларында һәркем өчен мөмкин булган һәм түләүсез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R3031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209 816 500,00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R3031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209 816 500,00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башлангыч гомуми белем алучы укучыларны түләүсез кайнар ризык белән тукландыруны оештыру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L3041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387 270 600,00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L3041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387 270 600,00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муниципаль гомуми белем бирү оешмаларының балалар иҗтимагый берләшмәләре белән хезмәттәшлек итү буенча директорлар киңәшчеләренә ай саен акчалата бүләкләү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L0501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2 760 240,00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L0501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2 760 240,00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2 108 112,99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2 108 112,99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финанслашу максатларында Татарстан Республикасы муниципаль районнары һәм шәһәр округлары бюджетларына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02 S0050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625 765 300,00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02 S0050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625 765 300,00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16 851 486,53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үстерүгә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4 606 264,12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4 606 264,12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гомуми белем бирү оешмаларында яшь белгечләргә ярдәм күрсәтүгә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02 4 05 43624</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12 245 222,41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02 4 05 43624</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12 245 222,41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1 712 807 790,26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«Гомуми белем бирүне тормышка ашыру»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1 712 807 790,26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«Башлангыч гомуми, төп гомуми, урта гомуми белем бирүне тормышка ашыру»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1 684 184 512,95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башлангыч гомуми белем бирү программалары буенча укучыларны түләүсез кайнар ризык белән тукландыруны оештыруга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02 2 02 23041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14 207 840,36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02 2 02 23041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14 207 840,36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1 572 910 654,85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1 572 910 654,85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97 066 017,74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97 066 017,74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«Россия Федерациясе гражданнарын патриотик тәрбияләү» федераль проекты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EВ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28 623 277,31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балалар иҗтимагый берләшмәләре белән хезмәттәшлек итү һәм тәрбияләү буенча директорларның киңәшчеләре эшчәнлеген тәэмин итү чараларын үткәрүгә финанслашу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EВ 51791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28 623 277,31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EВ 51791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28 623 277,31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4 434 531,65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4 318 221,97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4 318 221,97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116 309,68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116 309,68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 чараларын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2 136 669,56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2 076 996,26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2 076 996,26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59 673,30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59 673,30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51 365 650,46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50 274 714,46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50 274 714,46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1 090 936,00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1 090 936,00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173 961 607,31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173 713 084,87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173 713 084,87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248 522,44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248 522,44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Балаларга өстәмә белем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1 060 075 858,09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656 285,27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227 240,85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227 240,85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429 044,42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429 044,42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1 040 089 023,15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белем бирүне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1 040 089 023,15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белем бирүне оештыру»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1 040 089 023,15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319 940 479,18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319 940 479,18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720 148 543,97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720 148 543,97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1 070 768,93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1 070 768,93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күп профильле өстәмә белем бирү учреждениеләрендә яшь белгечләргә ярдәм күрсәтүгә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581 679,70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581 679,70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сәнгать-эстетика юнәлешендәге өстәмә белем бирү оешмаларында яшь белгечләргә ярдәм күрсәтүгә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489 089,23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489 089,23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мәдәниятне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973 420,00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 башка чаралар үткәрү»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973 420,00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973 420,00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273 475,73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78 920,00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78 920,00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194 555,73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194 555,73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11 629 976,01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3 263 865,53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3 263 865,53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8 366 110,48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8 366 110,48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5 382 909,00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3 073 942,02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3 073 942,02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2 308 966,98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2 308 966,98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Яшьләр сәясәте һәм балаларны сәламәтләндерү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226 812 375,99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250 141,61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учреждениеләрендә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250 141,61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250 141,61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яшьләр сәясәтен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183 273 725,92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 челтәре эшчәнлеген камилләштерү»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183 273 725,92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Балаларның, яшүсмерләрнең һәм яшьләрнең ялын оештыру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183 273 725,92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3 858 040,79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742 528,00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2 535 512,79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179 415 685,13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179 415 685,13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дәүләт милли сәясәтен тормышка ашыру»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236 994,56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236 994,56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236 994,56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127 070,57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учреждениеләрендә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127 070,57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127 070,57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коррупциягә каршы сәясәтен тормышка ашыру»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117 000,00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халыкны наркотизацияләүне профилактикалау»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339 830,99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Яшьләр учреждениеләрендә халыкны наркотизацияләүне профилактикалау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339 830,99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339 830,99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550 525,81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Яшьләр сәясәте учреждениеләрендә террорчылыкны һәм экстремизмны профилактикалау чаралары, шулай ук террорчылык һәм экстремизм чагылышлары нәтиҗәләрен минимальләштерү һәм (яисә) бетерү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533 204,81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533 204,81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17 321,00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17 321,00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32 373 542,13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балигъ булмаганнар арасында караучысызлыкны һәм хокук бозуларны профилактикалау»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32 373 542,13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32 373 542,13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 xml:space="preserve">«Яр Чаллы шәһәре муниципаль берәмлегендә ихтыяри ярдәмгә (волонтерлыкка) булышлык итү һәм аны үстерү» </w:t>
              <w:br/>
              <w:t>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 xml:space="preserve">Яшьләр сәясәте учреждениеләрендә ихтыяри ярдәмгә (волонтерлыкка) булышлык итү һәм </w:t>
              <w:br/>
              <w:t>аны үстерү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9 043 544,40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2 753 900,00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2 376 000,00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377 900,00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6 289 644,40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6 289 644,40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Мәгариф өлкәсендә башка мәсьәләләр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215 199 402,33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учреждениеләрне методик һәм мәгълүмати-технологик тәэмин итү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үстерүгә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9 060 000,00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9 060 000,00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28 700 375,68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сыйфатын бәяләү системасын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28 700 375,68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сыйфатын бәяләү системасын эшләү һәм кертү»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28 700 375,68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эшчәнлеген тәэмин итүне, белем бирү сыйфатын бәяләүне гамәлгә ашыра торган оешмаларны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02 5 01 43500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14 955 037,40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02 5 01 43500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14 955 037,40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13 745 338,28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1 951 465,60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1 023 820,00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10 370 052,68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дәүләт милли сәясәтен тормышка ашыру»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413 640,00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413 640,00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20 0 00 43600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413 640,00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яшьләр сәясәтен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159 546 286,65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(региональ) проектлар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159 546 286,65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«Балаларның һәм яшьләрнең ялын оештыру» региональ проекты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159 546 286,65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Каникул вакытында балаларның ялын оештыруны тәэмин итү буенча җирле үзидарә органнары вәкаләтләрен үтәгәндә барлыкка килә торган чыгым йөкләмәләрен финанслашу максатларында муниципаль районнар һәм шәһәр округлары бюджетларына субсидияләр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38 2 01 22320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151 674 404,96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38 2 01 22320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54 272 618,22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38 2 01 22320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97 401 786,74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районнар һәм шәһәр округлары бюджетларында каралган акчалар хисабына каникул вакытында балаларның ялын оештыруны тәэмин итү буенча финанслана торган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S2320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1 505 120,90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S2320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557 367,51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S2320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947 753,39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Җирле бюджет хисабына каникул вакытында балаларның ялын оештыру чаралары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38 2 01 82320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6 366 760,79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38 2 01 82320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2 481 989,02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38 2 01 82320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3 884 771,77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эшчәнлеген тәэмин итүне, белем бирү сыйфатын бәяләүне гамәлгә ашыра торган оешмаларны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99 0 00 43500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99 0 00 43500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Мәдәният, кинематография</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665 383 320,16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Мәдәният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665 383 320,16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369 763,97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49 121,20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49 121,20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Театрларда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36 400,00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36 400,00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Китапханәләрдә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10 016,31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10 016,31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учреждениеләрендә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229 511,07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229 511,07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учреждениеләрендә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44 715,39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44 715,39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мәдәниятне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618 119 087,88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 эшен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 эше өлкәсендә хезмәтләр күрсәтү (эшләр башкару)»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театр-тамаша учреждениеләрен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«Башкару сәнгате, театр эше өлкәсендә хезмәтләр күрсәтү (эшләр башкару)»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08 2 02 00000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«Иҗади кешеләр» федераль проекты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A2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Һәвәскәр иҗат коллективларына грант белән булышлык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A2 44060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A2 44060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 эшен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 эше өлкәсендә хезмәтләр күрсәтү (эшләр башкару)»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08 3 03 00000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һәм концерт учреждениеләрен үстерү»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326 652 274,49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һәм концерт учреждениеләрендә хезмәтләр күрсәтү (эшләр башкару)»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312 335 674,49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итү учреждениеләре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185 487 167,15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185 487 167,15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учреждениеләре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112 531 907,34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112 531 907,34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«Сәнгать һәм иҗат үсеше өчен шартлар тудыру»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08 4 07 00000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Грантлар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08 4 07 44050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08 4 07 44050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2 150 000,00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 идарә итү системасы эшчәнлеген тәэмин итү»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08 4 08 00000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14 316 600,00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һәм кинематография өлкәсендә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08 4 08 44100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14 316 600,00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08 4 08 44100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14 316 600,00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 башка чаралар үткәрү» ярдәмче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3 568 147,52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3 568 147,52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1 075 200,00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115 000,00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2 262 947,52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115 000,00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дәүләт милли сәясәтен тормышка ашыру»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 чараларын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124 376,33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учреждениеләрендә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58 933,75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58 933,75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оешмаларында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20 449,85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20 449,85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Музейларда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19 992,73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19 992,73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Китапханәләрдә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10 804 383,82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2 806 288,25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2 806 288,25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717 900,00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717 900,00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536 106,73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536 106,73</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4 875 924,22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4 875 924,22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1 868 164,62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1 868 164,62</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32 135 908,16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99 0 00 10990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12 800,00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5 128 500,00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99 0 02 44090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5 128 500,00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1 085 017,65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99 0 03 44090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1 085 017,65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Клублар һәм мәдәни-ял үзәкләре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7 401 395,11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99 0 04 44091</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7 401 395,11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оешмалары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18 409 195,40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99 0 04 44092</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18 409 195,40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Сәламәтлек саклау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10 339 697,00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Санитария-эпидемиология иминлеге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10 339 697,00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сәламәтлек саклауны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10 332 497,00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10 332 497,00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«Гражданнарның аерым категорияләрен дарулар белән тәэмин итү»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10 332 497,00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үткәрелә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01 4 05 02110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10 332 497,00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01 4 05 02110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599 997,00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01 4 05 02110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9 732 500,00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карамагындагы учреждениеләр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99 0 00 46990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99 0 00 46990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Социаль сәясәт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394 927 710,80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Халыкны социаль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54 432 744,00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6 943 579,00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сәясәт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3 208 435,00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1 839 200,00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1 369 235,00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3 735 144,00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309 890,00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2 076 189,00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Мактаулы гражданы» исеменә лаек булган затларга акчалата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1 248 665,00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100 400,00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транспорт системасын үстерү»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«Автомобиль, шәһәр электр транспортын үстерү»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13 4 04 00000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Җәмәгать транспорты хезмәтләреннән бертигез файдалануны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13 4 04 05370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13 4 04 05370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764 974,00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сәясәт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494 974,00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99 0 00 05410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494 974,00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Гаиләне һәм балачакны саклау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340 494 966,80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гражданнарга социаль ярдәм»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156 366 049,59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156 366 049,59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«Гражданнарның аерым категорияләренә социаль ярдәм чаралары күрсәтү»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03 4 03 00000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74 458 200,00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төп гомуми һәм урта гомуми белем бирү мәгариф программалары буенча белем алучыларны туклану белән тәэмин итүдә социаль ярдәм чараларын күрсәтү буенча дәүләт вәкаләтләрен гамәлгә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03 4 03 25510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74 458 200,00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03 4 03 25510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74 458 200,00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«Балалы гаиләләргә дәүләт ярдәме чаралары күрсәтү» процесслы чаралар комплексы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81 907 849,59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spacing w:val="-2"/>
                <w:kern w:val="0"/>
                <w:sz w:val="23"/>
                <w:szCs w:val="23"/>
              </w:rPr>
            </w:pPr>
            <w:r>
              <w:rPr>
                <w:rFonts w:eastAsia="Times New Roman" w:cs="Times New Roman" w:ascii="Times New Roman" w:hAnsi="Times New Roman"/>
                <w:color w:val="000000"/>
                <w:spacing w:val="-2"/>
                <w:kern w:val="0"/>
                <w:sz w:val="23"/>
                <w:szCs w:val="23"/>
              </w:rPr>
              <w:t>Тәрбиягә бала алган гаиләләргә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9 947 062,40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Ачык норматив йөкләмәләр буенча пособиеләр, компенсацияләр, социаль ярдәм чаралары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9 947 062,40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 вазыйфаларын түләүле рәвештә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6 681 947,48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6 681 947,48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Опекага (попечительлеккә)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65 278 839,71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Ачык норматив йөкләмәләр буенча пособиеләр, компенсацияләр, социаль ярдәм чаралары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65 278 839,71</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150 615 368,66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03 0 03 05110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150 615 368,66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03 0 03 05110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150 615 368,66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халкын сыйфатлы торак һәм торак-коммуналь хуҗалык хезмәтләре белән тәэмин итү» дәүләт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 гаиләләргә эконом класслы торак сатып алуга социаль түләүләр бирү»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(региональ) проектлар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 гаиләләрне торак белән тәэмин итү» региональ проекты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04 2 05 00000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Татарстан Республикасында яшь гаиләләрне торак белән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05 L4970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05 L4970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25 144 326,15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программасын тормышка ашыра торган белем бирү оешмаларында баланы карау һәм тәрбияләү өчен компенсация</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99 0 00 13200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25 144 326,15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99 0 00 13200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86,80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99 0 00 13200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25 144 239,35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Физик культура һәм спорт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789 486 104,27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Массакүләм спорт</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3 978 730,00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физик культура һәм спортны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физик культура һәм спортны үстерү»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юнәлешендәге учреждениеләрне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Массакүләм спорт өлкәсендә физик культура һәм спорт чаралары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37 4 01 12870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37 4 01 12870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37 4 01 12870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3 954 380,00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4 350,00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мәктәпләре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4 350,00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4 350,00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Югары казанышлар спорты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785 507 374,27</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747 753,56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әзерлеге учреждениеләрендә янгын куркынычсызлыгы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747 753,56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747 753,56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326 690,25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326 690,25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326 690,25</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физик культура һәм спортны үстерү»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740 719 072,54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физик культура һәм спортны үстерү» төп чарасы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740 719 072,54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юнәлешендәге учреждениеләрне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740 719 072,54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Автономияле һәм бюджет учреждениеләре эшчәнлеген тәэмин итүгә өстәмә чыгымнарны компенсацияләү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37 4 01 25160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7 985 905,08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37 4 01 25160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7 985 905,08</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белән мәктәптән тыш эшләү учреждениеләрендә эшләүче тренерлар-укытучыларга һәм спортчы-инструкторларга югары нәтиҗәләр өчен ярдәм күрсәтүгә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37 4 01 42330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19 303 945,20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37 4 01 42330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19 303 945,20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яшь белгечләргә ярдәм күрсәтүгә юнәлдерелгән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229 112,29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229 112,29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Балалар-яшүсмерләр спортын үстерү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4 557 410,00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37 4 01 43650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4 557 410,00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мәктәпләре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728 175 757,46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728 175 757,46</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spacing w:val="-2"/>
                <w:kern w:val="0"/>
                <w:sz w:val="23"/>
                <w:szCs w:val="23"/>
              </w:rPr>
            </w:pPr>
            <w:r>
              <w:rPr>
                <w:rFonts w:eastAsia="Times New Roman" w:cs="Times New Roman" w:ascii="Times New Roman" w:hAnsi="Times New Roman"/>
                <w:color w:val="000000"/>
                <w:spacing w:val="-2"/>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11 802 876,44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spacing w:val="-2"/>
                <w:kern w:val="0"/>
                <w:sz w:val="23"/>
                <w:szCs w:val="23"/>
              </w:rPr>
            </w:pPr>
            <w:r>
              <w:rPr>
                <w:rFonts w:eastAsia="Times New Roman" w:cs="Times New Roman" w:ascii="Times New Roman" w:hAnsi="Times New Roman"/>
                <w:color w:val="000000"/>
                <w:spacing w:val="-2"/>
                <w:kern w:val="0"/>
                <w:sz w:val="23"/>
                <w:szCs w:val="23"/>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11 802 876,44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43 0 00 48220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11 802 876,44</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12 377 923,99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буйсынуындагы спорт әзерлеге учреждениеләре эшчәнлеген тәэмин итү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12 377 923,99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12 377 923,99</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Бюджетара трансфертлар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5 155 900,00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Гомуми характердагы башка бюджетара трансфертлар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5 155 900,00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5 155 900,00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Бюджет кодексының 4410 статьясы нигезендә җирле бюджетлардан Татарстан Республикасы бюджетына күчерелергә тиешле бюджетара субсидияләр күләме</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99 0 00 20860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5 155 900,00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Бюджетара трансфертлар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99 0 00 20860</w:t>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w:t>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5 155 900,00</w:t>
            </w:r>
          </w:p>
        </w:tc>
      </w:tr>
      <w:tr>
        <w:trPr/>
        <w:tc>
          <w:tcPr>
            <w:tcW w:w="556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Барлык чыгымнар</w:t>
            </w:r>
          </w:p>
        </w:tc>
        <w:tc>
          <w:tcPr>
            <w:tcW w:w="42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0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3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23"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21 840 518 410,34</w:t>
            </w:r>
          </w:p>
        </w:tc>
      </w:tr>
    </w:tbl>
    <w:p>
      <w:pPr>
        <w:pStyle w:val="Normal"/>
        <w:spacing w:before="0" w:after="160"/>
        <w:rPr>
          <w:sz w:val="2"/>
          <w:szCs w:val="2"/>
        </w:rPr>
      </w:pPr>
      <w:r>
        <w:rPr>
          <w:sz w:val="2"/>
          <w:szCs w:val="2"/>
        </w:rPr>
      </w:r>
    </w:p>
    <w:sectPr>
      <w:type w:val="nextPage"/>
      <w:pgSz w:w="11906" w:h="16838"/>
      <w:pgMar w:left="567" w:right="567"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Arial">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8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ru-RU" w:eastAsia="en-US" w:bidi="ar-SA"/>
    </w:rPr>
  </w:style>
  <w:style w:type="paragraph" w:styleId="Heading1">
    <w:name w:val="Heading 1"/>
    <w:basedOn w:val="Normal"/>
    <w:uiPriority w:val="9"/>
    <w:qFormat/>
    <w:pPr>
      <w:keepNext w:val="true"/>
      <w:keepLines/>
      <w:spacing w:before="480" w:after="200"/>
      <w:outlineLvl w:val="0"/>
    </w:pPr>
    <w:rPr>
      <w:rFonts w:ascii="Arial" w:hAnsi="Arial" w:eastAsia="Arial" w:cs="Arial"/>
      <w:sz w:val="40"/>
      <w:szCs w:val="40"/>
    </w:rPr>
  </w:style>
  <w:style w:type="paragraph" w:styleId="Heading2">
    <w:name w:val="Heading 2"/>
    <w:basedOn w:val="Normal"/>
    <w:uiPriority w:val="9"/>
    <w:unhideWhenUsed/>
    <w:qFormat/>
    <w:pPr>
      <w:keepNext w:val="true"/>
      <w:keepLines/>
      <w:spacing w:before="360" w:after="200"/>
      <w:outlineLvl w:val="1"/>
    </w:pPr>
    <w:rPr>
      <w:rFonts w:ascii="Arial" w:hAnsi="Arial" w:eastAsia="Arial" w:cs="Arial"/>
      <w:sz w:val="34"/>
    </w:rPr>
  </w:style>
  <w:style w:type="paragraph" w:styleId="Heading3">
    <w:name w:val="Heading 3"/>
    <w:basedOn w:val="Normal"/>
    <w:uiPriority w:val="9"/>
    <w:unhideWhenUsed/>
    <w:qFormat/>
    <w:pPr>
      <w:keepNext w:val="true"/>
      <w:keepLines/>
      <w:spacing w:before="320" w:after="200"/>
      <w:outlineLvl w:val="2"/>
    </w:pPr>
    <w:rPr>
      <w:rFonts w:ascii="Arial" w:hAnsi="Arial" w:eastAsia="Arial" w:cs="Arial"/>
      <w:sz w:val="30"/>
      <w:szCs w:val="30"/>
    </w:rPr>
  </w:style>
  <w:style w:type="paragraph" w:styleId="Heading4">
    <w:name w:val="Heading 4"/>
    <w:basedOn w:val="Normal"/>
    <w:uiPriority w:val="9"/>
    <w:unhideWhenUsed/>
    <w:qFormat/>
    <w:pPr>
      <w:keepNext w:val="true"/>
      <w:keepLines/>
      <w:spacing w:before="320" w:after="200"/>
      <w:outlineLvl w:val="3"/>
    </w:pPr>
    <w:rPr>
      <w:rFonts w:ascii="Arial" w:hAnsi="Arial" w:eastAsia="Arial" w:cs="Arial"/>
      <w:b/>
      <w:bCs/>
      <w:sz w:val="26"/>
      <w:szCs w:val="26"/>
    </w:rPr>
  </w:style>
  <w:style w:type="paragraph" w:styleId="Heading5">
    <w:name w:val="Heading 5"/>
    <w:basedOn w:val="Normal"/>
    <w:uiPriority w:val="9"/>
    <w:unhideWhenUsed/>
    <w:qFormat/>
    <w:pPr>
      <w:keepNext w:val="true"/>
      <w:keepLines/>
      <w:spacing w:before="320" w:after="200"/>
      <w:outlineLvl w:val="4"/>
    </w:pPr>
    <w:rPr>
      <w:rFonts w:ascii="Arial" w:hAnsi="Arial" w:eastAsia="Arial" w:cs="Arial"/>
      <w:b/>
      <w:bCs/>
      <w:sz w:val="24"/>
      <w:szCs w:val="24"/>
    </w:rPr>
  </w:style>
  <w:style w:type="paragraph" w:styleId="Heading6">
    <w:name w:val="Heading 6"/>
    <w:basedOn w:val="Normal"/>
    <w:uiPriority w:val="9"/>
    <w:unhideWhenUsed/>
    <w:qFormat/>
    <w:pPr>
      <w:keepNext w:val="true"/>
      <w:keepLines/>
      <w:spacing w:before="320" w:after="200"/>
      <w:outlineLvl w:val="5"/>
    </w:pPr>
    <w:rPr>
      <w:rFonts w:ascii="Arial" w:hAnsi="Arial" w:eastAsia="Arial" w:cs="Arial"/>
      <w:b/>
      <w:bCs/>
      <w:sz w:val="22"/>
      <w:szCs w:val="22"/>
    </w:rPr>
  </w:style>
  <w:style w:type="paragraph" w:styleId="Heading7">
    <w:name w:val="Heading 7"/>
    <w:basedOn w:val="Normal"/>
    <w:uiPriority w:val="9"/>
    <w:unhideWhenUsed/>
    <w:qFormat/>
    <w:pPr>
      <w:keepNext w:val="true"/>
      <w:keepLines/>
      <w:spacing w:before="320" w:after="200"/>
      <w:outlineLvl w:val="6"/>
    </w:pPr>
    <w:rPr>
      <w:rFonts w:ascii="Arial" w:hAnsi="Arial" w:eastAsia="Arial" w:cs="Arial"/>
      <w:b/>
      <w:bCs/>
      <w:i/>
      <w:iCs/>
      <w:sz w:val="22"/>
      <w:szCs w:val="22"/>
    </w:rPr>
  </w:style>
  <w:style w:type="paragraph" w:styleId="Heading8">
    <w:name w:val="Heading 8"/>
    <w:basedOn w:val="Normal"/>
    <w:uiPriority w:val="9"/>
    <w:unhideWhenUsed/>
    <w:qFormat/>
    <w:pPr>
      <w:keepNext w:val="true"/>
      <w:keepLines/>
      <w:spacing w:before="320" w:after="200"/>
      <w:outlineLvl w:val="7"/>
    </w:pPr>
    <w:rPr>
      <w:rFonts w:ascii="Arial" w:hAnsi="Arial" w:eastAsia="Arial" w:cs="Arial"/>
      <w:i/>
      <w:iCs/>
      <w:sz w:val="22"/>
      <w:szCs w:val="22"/>
    </w:rPr>
  </w:style>
  <w:style w:type="paragraph" w:styleId="Heading9">
    <w:name w:val="Heading 9"/>
    <w:basedOn w:val="Normal"/>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basedOn w:val="DefaultParagraphFont"/>
    <w:uiPriority w:val="9"/>
    <w:qFormat/>
    <w:rPr>
      <w:rFonts w:ascii="Arial" w:hAnsi="Arial" w:eastAsia="Arial" w:cs="Arial"/>
      <w:sz w:val="40"/>
      <w:szCs w:val="40"/>
    </w:rPr>
  </w:style>
  <w:style w:type="character" w:styleId="Heading2Char">
    <w:name w:val="Heading 2 Char"/>
    <w:basedOn w:val="DefaultParagraphFont"/>
    <w:uiPriority w:val="9"/>
    <w:qFormat/>
    <w:rPr>
      <w:rFonts w:ascii="Arial" w:hAnsi="Arial" w:eastAsia="Arial" w:cs="Arial"/>
      <w:sz w:val="34"/>
    </w:rPr>
  </w:style>
  <w:style w:type="character" w:styleId="Heading3Char">
    <w:name w:val="Heading 3 Char"/>
    <w:basedOn w:val="DefaultParagraphFont"/>
    <w:uiPriority w:val="9"/>
    <w:qFormat/>
    <w:rPr>
      <w:rFonts w:ascii="Arial" w:hAnsi="Arial" w:eastAsia="Arial" w:cs="Arial"/>
      <w:sz w:val="30"/>
      <w:szCs w:val="30"/>
    </w:rPr>
  </w:style>
  <w:style w:type="character" w:styleId="Heading4Char">
    <w:name w:val="Heading 4 Char"/>
    <w:basedOn w:val="DefaultParagraphFont"/>
    <w:uiPriority w:val="9"/>
    <w:qFormat/>
    <w:rPr>
      <w:rFonts w:ascii="Arial" w:hAnsi="Arial" w:eastAsia="Arial" w:cs="Arial"/>
      <w:b/>
      <w:bCs/>
      <w:sz w:val="26"/>
      <w:szCs w:val="26"/>
    </w:rPr>
  </w:style>
  <w:style w:type="character" w:styleId="Heading5Char">
    <w:name w:val="Heading 5 Char"/>
    <w:basedOn w:val="DefaultParagraphFont"/>
    <w:uiPriority w:val="9"/>
    <w:qFormat/>
    <w:rPr>
      <w:rFonts w:ascii="Arial" w:hAnsi="Arial" w:eastAsia="Arial" w:cs="Arial"/>
      <w:b/>
      <w:bCs/>
      <w:sz w:val="24"/>
      <w:szCs w:val="24"/>
    </w:rPr>
  </w:style>
  <w:style w:type="character" w:styleId="Heading6Char">
    <w:name w:val="Heading 6 Char"/>
    <w:basedOn w:val="DefaultParagraphFont"/>
    <w:uiPriority w:val="9"/>
    <w:qFormat/>
    <w:rPr>
      <w:rFonts w:ascii="Arial" w:hAnsi="Arial" w:eastAsia="Arial" w:cs="Arial"/>
      <w:b/>
      <w:bCs/>
      <w:sz w:val="22"/>
      <w:szCs w:val="22"/>
    </w:rPr>
  </w:style>
  <w:style w:type="character" w:styleId="Heading7Char">
    <w:name w:val="Heading 7 Char"/>
    <w:basedOn w:val="DefaultParagraphFont"/>
    <w:uiPriority w:val="9"/>
    <w:qFormat/>
    <w:rPr>
      <w:rFonts w:ascii="Arial" w:hAnsi="Arial" w:eastAsia="Arial" w:cs="Arial"/>
      <w:b/>
      <w:bCs/>
      <w:i/>
      <w:iCs/>
      <w:sz w:val="22"/>
      <w:szCs w:val="22"/>
    </w:rPr>
  </w:style>
  <w:style w:type="character" w:styleId="Heading8Char">
    <w:name w:val="Heading 8 Char"/>
    <w:basedOn w:val="DefaultParagraphFont"/>
    <w:uiPriority w:val="9"/>
    <w:qFormat/>
    <w:rPr>
      <w:rFonts w:ascii="Arial" w:hAnsi="Arial" w:eastAsia="Arial" w:cs="Arial"/>
      <w:i/>
      <w:iCs/>
      <w:sz w:val="22"/>
      <w:szCs w:val="22"/>
    </w:rPr>
  </w:style>
  <w:style w:type="character" w:styleId="Heading9Char">
    <w:name w:val="Heading 9 Char"/>
    <w:basedOn w:val="DefaultParagraphFont"/>
    <w:uiPriority w:val="9"/>
    <w:qFormat/>
    <w:rPr>
      <w:rFonts w:ascii="Arial" w:hAnsi="Arial" w:eastAsia="Arial" w:cs="Arial"/>
      <w:i/>
      <w:iCs/>
      <w:sz w:val="21"/>
      <w:szCs w:val="21"/>
    </w:rPr>
  </w:style>
  <w:style w:type="character" w:styleId="TitleChar">
    <w:name w:val="Title Char"/>
    <w:basedOn w:val="DefaultParagraphFont"/>
    <w:uiPriority w:val="10"/>
    <w:qFormat/>
    <w:rPr>
      <w:sz w:val="48"/>
      <w:szCs w:val="48"/>
    </w:rPr>
  </w:style>
  <w:style w:type="character" w:styleId="SubtitleChar">
    <w:name w:val="Subtitle Char"/>
    <w:basedOn w:val="DefaultParagraphFont"/>
    <w:uiPriority w:val="11"/>
    <w:qFormat/>
    <w:rPr>
      <w:sz w:val="24"/>
      <w:szCs w:val="24"/>
    </w:rPr>
  </w:style>
  <w:style w:type="character" w:styleId="QuoteChar">
    <w:name w:val="Quote Char"/>
    <w:uiPriority w:val="29"/>
    <w:qFormat/>
    <w:rPr>
      <w:i/>
    </w:rPr>
  </w:style>
  <w:style w:type="character" w:styleId="IntenseQuoteChar">
    <w:name w:val="Intense Quote Char"/>
    <w:uiPriority w:val="30"/>
    <w:qFormat/>
    <w:rPr>
      <w:i/>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CaptionChar">
    <w:name w:val="Caption Char"/>
    <w:uiPriority w:val="99"/>
    <w:qFormat/>
    <w:rPr/>
  </w:style>
  <w:style w:type="character" w:styleId="Hyperlink">
    <w:name w:val="Hyperlink"/>
    <w:uiPriority w:val="99"/>
    <w:unhideWhenUsed/>
    <w:rPr>
      <w:color w:themeColor="hyperlink" w:val="0000FF"/>
      <w:u w:val="single"/>
    </w:rPr>
  </w:style>
  <w:style w:type="character" w:styleId="FootnoteTextChar">
    <w:name w:val="Footnote Text Char"/>
    <w:uiPriority w:val="99"/>
    <w:qFormat/>
    <w:rPr>
      <w:sz w:val="18"/>
    </w:rPr>
  </w:style>
  <w:style w:type="character" w:styleId="Style5">
    <w:name w:val="Символ сноски"/>
    <w:uiPriority w:val="99"/>
    <w:unhideWhenUsed/>
    <w:qFormat/>
    <w:rPr>
      <w:vertAlign w:val="superscript"/>
    </w:rPr>
  </w:style>
  <w:style w:type="character" w:styleId="FootnoteReference">
    <w:name w:val="Footnote Reference"/>
    <w:rPr>
      <w:vertAlign w:val="superscript"/>
    </w:rPr>
  </w:style>
  <w:style w:type="character" w:styleId="EndnoteTextChar">
    <w:name w:val="Endnote Text Char"/>
    <w:uiPriority w:val="99"/>
    <w:qFormat/>
    <w:rPr>
      <w:sz w:val="20"/>
    </w:rPr>
  </w:style>
  <w:style w:type="character" w:styleId="Style6">
    <w:name w:val="Символ концевой сноски"/>
    <w:uiPriority w:val="99"/>
    <w:semiHidden/>
    <w:unhideWhenUsed/>
    <w:qFormat/>
    <w:rPr>
      <w:vertAlign w:val="superscript"/>
    </w:rPr>
  </w:style>
  <w:style w:type="character" w:styleId="EndnoteReference">
    <w:name w:val="Endnote Reference"/>
    <w:rPr>
      <w:vertAlign w:val="superscript"/>
    </w:rPr>
  </w:style>
  <w:style w:type="character" w:styleId="DefaultParagraphFont" w:default="1">
    <w:name w:val="Default Paragraph Font"/>
    <w:uiPriority w:val="1"/>
    <w:semiHidden/>
    <w:unhideWhenUsed/>
    <w:qFormat/>
    <w:rPr/>
  </w:style>
  <w:style w:type="paragraph" w:styleId="Style7">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8">
    <w:name w:val="Указатель"/>
    <w:basedOn w:val="Normal"/>
    <w:qFormat/>
    <w:pPr>
      <w:suppressLineNumbers/>
    </w:pPr>
    <w:rPr>
      <w:rFonts w:ascii="PT Astra Serif" w:hAnsi="PT Astra Serif" w:cs="Noto Sans Devanagari"/>
    </w:rPr>
  </w:style>
  <w:style w:type="paragraph" w:styleId="NoSpacing">
    <w:name w:val="No Spacing"/>
    <w:uiPriority w:val="1"/>
    <w:qFormat/>
    <w:pPr>
      <w:widowControl/>
      <w:suppressAutoHyphens w:val="true"/>
      <w:bidi w:val="0"/>
      <w:spacing w:lineRule="auto" w:line="240" w:before="0" w:after="0"/>
      <w:jc w:val="left"/>
    </w:pPr>
    <w:rPr>
      <w:rFonts w:ascii="Calibri" w:hAnsi="Calibri" w:eastAsia="Calibri" w:cs="Arial" w:asciiTheme="minorHAnsi" w:cstheme="minorBidi" w:eastAsiaTheme="minorHAnsi" w:hAnsiTheme="minorHAnsi"/>
      <w:color w:val="auto"/>
      <w:kern w:val="0"/>
      <w:sz w:val="22"/>
      <w:szCs w:val="22"/>
      <w:lang w:val="ru-RU" w:eastAsia="en-US" w:bidi="ar-SA"/>
    </w:rPr>
  </w:style>
  <w:style w:type="paragraph" w:styleId="Title">
    <w:name w:val="Title"/>
    <w:basedOn w:val="Normal"/>
    <w:uiPriority w:val="10"/>
    <w:qFormat/>
    <w:pPr>
      <w:spacing w:before="300" w:after="200"/>
      <w:contextualSpacing/>
    </w:pPr>
    <w:rPr>
      <w:sz w:val="48"/>
      <w:szCs w:val="48"/>
    </w:rPr>
  </w:style>
  <w:style w:type="paragraph" w:styleId="Subtitle">
    <w:name w:val="Subtitle"/>
    <w:basedOn w:val="Normal"/>
    <w:uiPriority w:val="11"/>
    <w:qFormat/>
    <w:pPr>
      <w:spacing w:before="200" w:after="200"/>
    </w:pPr>
    <w:rPr>
      <w:sz w:val="24"/>
      <w:szCs w:val="24"/>
    </w:rPr>
  </w:style>
  <w:style w:type="paragraph" w:styleId="Quote">
    <w:name w:val="Quote"/>
    <w:basedOn w:val="Normal"/>
    <w:uiPriority w:val="29"/>
    <w:qFormat/>
    <w:pPr>
      <w:ind w:left="720" w:right="720"/>
    </w:pPr>
    <w:rPr>
      <w:i/>
    </w:rPr>
  </w:style>
  <w:style w:type="paragraph" w:styleId="IntenseQuote">
    <w:name w:val="Intense Quote"/>
    <w:basedOn w:val="Normal"/>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left="720" w:right="720"/>
    </w:pPr>
    <w:rPr>
      <w:i/>
    </w:rPr>
  </w:style>
  <w:style w:type="paragraph" w:styleId="Style9">
    <w:name w:val="Колонтитул"/>
    <w:basedOn w:val="Normal"/>
    <w:qFormat/>
    <w:pPr/>
    <w:rPr/>
  </w:style>
  <w:style w:type="paragraph" w:styleId="Header">
    <w:name w:val="Header"/>
    <w:basedOn w:val="Normal"/>
    <w:uiPriority w:val="99"/>
    <w:unhideWhenUsed/>
    <w:pPr>
      <w:tabs>
        <w:tab w:val="clear" w:pos="708"/>
        <w:tab w:val="center" w:pos="7143" w:leader="none"/>
        <w:tab w:val="right" w:pos="14287" w:leader="none"/>
      </w:tabs>
      <w:spacing w:lineRule="auto" w:line="240" w:before="0" w:after="0"/>
    </w:pPr>
    <w:rPr/>
  </w:style>
  <w:style w:type="paragraph" w:styleId="Footer">
    <w:name w:val="Footer"/>
    <w:basedOn w:val="Normal"/>
    <w:uiPriority w:val="99"/>
    <w:unhideWhenUsed/>
    <w:pPr>
      <w:tabs>
        <w:tab w:val="clear" w:pos="708"/>
        <w:tab w:val="center" w:pos="7143" w:leader="none"/>
        <w:tab w:val="right" w:pos="14287" w:leader="none"/>
      </w:tabs>
      <w:spacing w:lineRule="auto" w:line="240" w:before="0" w:after="0"/>
    </w:pPr>
    <w:rPr/>
  </w:style>
  <w:style w:type="paragraph" w:styleId="FootnoteText">
    <w:name w:val="Footnote Text"/>
    <w:basedOn w:val="Normal"/>
    <w:uiPriority w:val="99"/>
    <w:semiHidden/>
    <w:unhideWhenUsed/>
    <w:pPr>
      <w:spacing w:lineRule="auto" w:line="240" w:before="0" w:after="40"/>
    </w:pPr>
    <w:rPr>
      <w:sz w:val="18"/>
    </w:rPr>
  </w:style>
  <w:style w:type="paragraph" w:styleId="EndnoteText">
    <w:name w:val="Endnote Text"/>
    <w:basedOn w:val="Normal"/>
    <w:uiPriority w:val="99"/>
    <w:semiHidden/>
    <w:unhideWhenUsed/>
    <w:pPr>
      <w:spacing w:lineRule="auto" w:line="240" w:before="0" w:after="0"/>
    </w:pPr>
    <w:rPr>
      <w:sz w:val="20"/>
    </w:rPr>
  </w:style>
  <w:style w:type="paragraph" w:styleId="TOC1">
    <w:name w:val="TOC 1"/>
    <w:basedOn w:val="Normal"/>
    <w:uiPriority w:val="39"/>
    <w:unhideWhenUsed/>
    <w:pPr>
      <w:spacing w:before="0" w:after="57"/>
      <w:ind w:hanging="0" w:left="0" w:right="0"/>
    </w:pPr>
    <w:rPr/>
  </w:style>
  <w:style w:type="paragraph" w:styleId="TOC2">
    <w:name w:val="TOC 2"/>
    <w:basedOn w:val="Normal"/>
    <w:uiPriority w:val="39"/>
    <w:unhideWhenUsed/>
    <w:pPr>
      <w:spacing w:before="0" w:after="57"/>
      <w:ind w:hanging="0" w:left="283" w:right="0"/>
    </w:pPr>
    <w:rPr/>
  </w:style>
  <w:style w:type="paragraph" w:styleId="TOC3">
    <w:name w:val="TOC 3"/>
    <w:basedOn w:val="Normal"/>
    <w:uiPriority w:val="39"/>
    <w:unhideWhenUsed/>
    <w:pPr>
      <w:spacing w:before="0" w:after="57"/>
      <w:ind w:hanging="0" w:left="567" w:right="0"/>
    </w:pPr>
    <w:rPr/>
  </w:style>
  <w:style w:type="paragraph" w:styleId="TOC4">
    <w:name w:val="TOC 4"/>
    <w:basedOn w:val="Normal"/>
    <w:uiPriority w:val="39"/>
    <w:unhideWhenUsed/>
    <w:pPr>
      <w:spacing w:before="0" w:after="57"/>
      <w:ind w:hanging="0" w:left="850" w:right="0"/>
    </w:pPr>
    <w:rPr/>
  </w:style>
  <w:style w:type="paragraph" w:styleId="TOC5">
    <w:name w:val="TOC 5"/>
    <w:basedOn w:val="Normal"/>
    <w:uiPriority w:val="39"/>
    <w:unhideWhenUsed/>
    <w:pPr>
      <w:spacing w:before="0" w:after="57"/>
      <w:ind w:hanging="0" w:left="1134" w:right="0"/>
    </w:pPr>
    <w:rPr/>
  </w:style>
  <w:style w:type="paragraph" w:styleId="TOC6">
    <w:name w:val="TOC 6"/>
    <w:basedOn w:val="Normal"/>
    <w:uiPriority w:val="39"/>
    <w:unhideWhenUsed/>
    <w:pPr>
      <w:spacing w:before="0" w:after="57"/>
      <w:ind w:hanging="0" w:left="1417" w:right="0"/>
    </w:pPr>
    <w:rPr/>
  </w:style>
  <w:style w:type="paragraph" w:styleId="TOC7">
    <w:name w:val="TOC 7"/>
    <w:basedOn w:val="Normal"/>
    <w:uiPriority w:val="39"/>
    <w:unhideWhenUsed/>
    <w:pPr>
      <w:spacing w:before="0" w:after="57"/>
      <w:ind w:hanging="0" w:left="1701" w:right="0"/>
    </w:pPr>
    <w:rPr/>
  </w:style>
  <w:style w:type="paragraph" w:styleId="TOC8">
    <w:name w:val="TOC 8"/>
    <w:basedOn w:val="Normal"/>
    <w:uiPriority w:val="39"/>
    <w:unhideWhenUsed/>
    <w:pPr>
      <w:spacing w:before="0" w:after="57"/>
      <w:ind w:hanging="0" w:left="1984" w:right="0"/>
    </w:pPr>
    <w:rPr/>
  </w:style>
  <w:style w:type="paragraph" w:styleId="TOC9">
    <w:name w:val="TOC 9"/>
    <w:basedOn w:val="Normal"/>
    <w:uiPriority w:val="39"/>
    <w:unhideWhenUsed/>
    <w:pPr>
      <w:spacing w:before="0" w:after="57"/>
      <w:ind w:hanging="0" w:left="2268" w:right="0"/>
    </w:pPr>
    <w:rPr/>
  </w:style>
  <w:style w:type="paragraph" w:styleId="IndexHeading">
    <w:name w:val="Index Heading"/>
    <w:basedOn w:val="Style7"/>
    <w:pPr/>
    <w:rPr/>
  </w:style>
  <w:style w:type="paragraph" w:styleId="TOCHeading">
    <w:name w:val="TOC Heading"/>
    <w:uiPriority w:val="39"/>
    <w:unhideWhenUsed/>
    <w:qFormat/>
    <w:pPr>
      <w:widowControl/>
      <w:suppressAutoHyphens w:val="true"/>
      <w:bidi w:val="0"/>
      <w:spacing w:before="0" w:after="0"/>
      <w:jc w:val="left"/>
    </w:pPr>
    <w:rPr>
      <w:rFonts w:ascii="Calibri" w:hAnsi="Calibri" w:eastAsia="Calibri" w:cs="Arial" w:asciiTheme="minorHAnsi" w:cstheme="minorBidi" w:eastAsiaTheme="minorHAnsi" w:hAnsiTheme="minorHAnsi"/>
      <w:color w:val="auto"/>
      <w:kern w:val="0"/>
      <w:sz w:val="22"/>
      <w:szCs w:val="22"/>
      <w:lang w:val="ru-RU" w:eastAsia="en-US" w:bidi="ar-SA"/>
    </w:rPr>
  </w:style>
  <w:style w:type="paragraph" w:styleId="TableofFigures">
    <w:name w:val="Table of Figures"/>
    <w:basedOn w:val="Normal"/>
    <w:uiPriority w:val="99"/>
    <w:unhideWhenUsed/>
    <w:pPr>
      <w:spacing w:before="0" w:afterAutospacing="0" w:after="0"/>
    </w:pPr>
    <w:rPr/>
  </w:style>
  <w:style w:type="paragraph" w:styleId="ListParagraph">
    <w:name w:val="List Paragraph"/>
    <w:basedOn w:val="Normal"/>
    <w:uiPriority w:val="34"/>
    <w:qFormat/>
    <w:pPr>
      <w:spacing w:before="0" w:after="160"/>
      <w:ind w:left="720"/>
      <w:contextualSpacing/>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itchFamily="0" charset="1"/>
        <a:ea typeface="Arial" pitchFamily="0" charset="1"/>
        <a:cs typeface="Arial" pitchFamily="0" charset="1"/>
      </a:majorFont>
      <a:minorFont>
        <a:latin typeface="Calibri" pitchFamily="0" charset="1"/>
        <a:ea typeface="Arial" pitchFamily="0" charset="1"/>
        <a:cs typeface="Arial" pitchFamily="0" charset="1"/>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11</TotalTime>
  <Application>LibreOffice/7.6.7.2$Linux_X86_64 LibreOffice_project/60$Build-2</Application>
  <AppVersion>15.0000</AppVersion>
  <Pages>28</Pages>
  <Words>11990</Words>
  <Characters>65547</Characters>
  <CharactersWithSpaces>74187</CharactersWithSpaces>
  <Paragraphs>3358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2024-01-30T07:05:00Z</dcterms:created>
  <dc:creator>Гулфия Гарипова Атхамутдиновна</dc:creator>
  <dc:description/>
  <dc:language>ru-RU</dc:language>
  <cp:lastModifiedBy/>
  <dcterms:modified xsi:type="dcterms:W3CDTF">2025-02-13T16:14:14Z</dcterms:modified>
  <cp:revision>58</cp:revision>
  <dc:subject/>
  <dc:title/>
</cp:coreProperties>
</file>

<file path=docProps/custom.xml><?xml version="1.0" encoding="utf-8"?>
<Properties xmlns="http://schemas.openxmlformats.org/officeDocument/2006/custom-properties" xmlns:vt="http://schemas.openxmlformats.org/officeDocument/2006/docPropsVTypes"/>
</file>